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r>
        <w:rPr>
          <w:rStyle w:val="8"/>
          <w:rFonts w:hint="eastAsia" w:ascii="方正小标宋简体" w:hAnsi="方正小标宋简体" w:eastAsia="方正小标宋简体" w:cs="方正小标宋简体"/>
          <w:i w:val="0"/>
          <w:iCs w:val="0"/>
          <w:caps w:val="0"/>
          <w:color w:val="000000"/>
          <w:spacing w:val="0"/>
          <w:sz w:val="44"/>
          <w:szCs w:val="44"/>
          <w:lang w:val="en-US" w:eastAsia="zh-CN"/>
        </w:rPr>
        <w:t>中铝瑞闽股份有限公司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0"/>
          <w:szCs w:val="40"/>
          <w:lang w:val="en-US" w:eastAsia="zh-CN"/>
        </w:rPr>
      </w:pPr>
      <w:r>
        <w:rPr>
          <w:rStyle w:val="8"/>
          <w:rFonts w:hint="eastAsia" w:ascii="方正小标宋简体" w:hAnsi="方正小标宋简体" w:eastAsia="方正小标宋简体" w:cs="方正小标宋简体"/>
          <w:i w:val="0"/>
          <w:iCs w:val="0"/>
          <w:caps w:val="0"/>
          <w:color w:val="000000"/>
          <w:spacing w:val="0"/>
          <w:sz w:val="44"/>
          <w:szCs w:val="44"/>
          <w:lang w:val="en-US" w:eastAsia="zh-CN"/>
        </w:rPr>
        <w:t>信息安全等级保护二级认证及网络安全渗透测试服务</w:t>
      </w:r>
      <w:r>
        <w:rPr>
          <w:rStyle w:val="8"/>
          <w:rFonts w:hint="eastAsia" w:ascii="方正小标宋简体" w:hAnsi="方正小标宋简体" w:eastAsia="方正小标宋简体" w:cs="方正小标宋简体"/>
          <w:i w:val="0"/>
          <w:iCs w:val="0"/>
          <w:caps w:val="0"/>
          <w:color w:val="000000"/>
          <w:spacing w:val="0"/>
          <w:sz w:val="40"/>
          <w:szCs w:val="40"/>
          <w:lang w:val="en-US" w:eastAsia="zh-CN"/>
        </w:rPr>
        <w:t>报价函</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70" w:lineRule="exact"/>
        <w:ind w:left="0" w:leftChars="0" w:right="0" w:rightChars="0" w:firstLine="560" w:firstLineChars="200"/>
        <w:jc w:val="both"/>
        <w:textAlignment w:val="auto"/>
        <w:outlineLvl w:val="9"/>
        <w:rPr>
          <w:rFonts w:hint="eastAsia" w:ascii="Times New Roman" w:hAnsi="方正小标宋简体" w:eastAsia="仿宋_GB2312" w:cs="方正小标宋简体"/>
          <w:b w:val="0"/>
          <w:snapToGrid w:val="0"/>
          <w:spacing w:val="0"/>
          <w:w w:val="100"/>
          <w:kern w:val="0"/>
          <w:position w:val="0"/>
          <w:sz w:val="28"/>
          <w:szCs w:val="28"/>
          <w:lang w:val="en-US" w:eastAsia="zh-CN"/>
        </w:rPr>
      </w:pP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right="0" w:rightChars="0"/>
        <w:jc w:val="both"/>
        <w:rPr>
          <w:rFonts w:hint="default" w:ascii="Times New Roman" w:hAnsi="仿宋_GB2312" w:eastAsia="仿宋_GB2312" w:cs="仿宋_GB2312"/>
          <w:b w:val="0"/>
          <w:spacing w:val="0"/>
          <w:kern w:val="0"/>
          <w:sz w:val="28"/>
          <w:szCs w:val="28"/>
        </w:rPr>
      </w:pPr>
      <w:r>
        <w:rPr>
          <w:rFonts w:hint="eastAsia" w:ascii="Times New Roman" w:hAnsi="仿宋_GB2312" w:eastAsia="仿宋_GB2312" w:cs="仿宋_GB2312"/>
          <w:b w:val="0"/>
          <w:i w:val="0"/>
          <w:iCs w:val="0"/>
          <w:caps w:val="0"/>
          <w:snapToGrid w:val="0"/>
          <w:color w:val="auto"/>
          <w:spacing w:val="0"/>
          <w:w w:val="100"/>
          <w:kern w:val="0"/>
          <w:position w:val="0"/>
          <w:sz w:val="28"/>
          <w:szCs w:val="28"/>
          <w:lang w:val="en-US" w:eastAsia="zh-CN"/>
        </w:rPr>
        <w:t>中铝瑞闽股份有限公司</w:t>
      </w:r>
      <w:r>
        <w:rPr>
          <w:rFonts w:hint="default" w:ascii="仿宋_GB2312" w:hAnsi="仿宋_GB2312" w:eastAsia="仿宋_GB2312" w:cs="仿宋_GB2312"/>
          <w:b w:val="0"/>
          <w:spacing w:val="0"/>
          <w:kern w:val="0"/>
          <w:sz w:val="28"/>
          <w:szCs w:val="28"/>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仿宋_GB2312" w:hAnsi="仿宋_GB2312" w:eastAsia="仿宋_GB2312" w:cs="仿宋_GB2312"/>
          <w:b w:val="0"/>
          <w:spacing w:val="0"/>
          <w:kern w:val="0"/>
          <w:sz w:val="28"/>
          <w:szCs w:val="28"/>
          <w:lang w:val="en-US" w:eastAsia="zh-CN" w:bidi="ar"/>
        </w:rPr>
        <w:t>我方已仔细研究了询价函的全部内容</w:t>
      </w:r>
      <w:r>
        <w:rPr>
          <w:rFonts w:hint="eastAsia" w:ascii="仿宋_GB2312" w:hAnsi="仿宋_GB2312" w:eastAsia="仿宋_GB2312" w:cs="仿宋_GB2312"/>
          <w:b w:val="0"/>
          <w:spacing w:val="0"/>
          <w:kern w:val="0"/>
          <w:sz w:val="28"/>
          <w:szCs w:val="28"/>
          <w:lang w:val="en-US" w:eastAsia="zh-CN" w:bidi="ar"/>
        </w:rPr>
        <w:t>（项目编号</w:t>
      </w:r>
      <w:r>
        <w:rPr>
          <w:rFonts w:hint="eastAsia" w:ascii="仿宋_GB2312" w:hAnsi="仿宋_GB2312" w:eastAsia="仿宋_GB2312" w:cs="仿宋_GB2312"/>
          <w:b/>
          <w:bCs/>
          <w:i w:val="0"/>
          <w:iCs w:val="0"/>
          <w:caps w:val="0"/>
          <w:snapToGrid w:val="0"/>
          <w:color w:val="auto"/>
          <w:spacing w:val="0"/>
          <w:w w:val="100"/>
          <w:kern w:val="0"/>
          <w:position w:val="0"/>
          <w:sz w:val="28"/>
          <w:szCs w:val="28"/>
          <w:lang w:val="en-US" w:eastAsia="zh-CN" w:bidi="ar"/>
        </w:rPr>
        <w:t>ZLRMZZB-ZH-2026030</w:t>
      </w:r>
      <w:r>
        <w:rPr>
          <w:rFonts w:hint="eastAsia" w:ascii="仿宋_GB2312" w:hAnsi="仿宋_GB2312" w:eastAsia="仿宋_GB2312" w:cs="仿宋_GB2312"/>
          <w:b w:val="0"/>
          <w:i w:val="0"/>
          <w:iCs w:val="0"/>
          <w:caps w:val="0"/>
          <w:snapToGrid w:val="0"/>
          <w:color w:val="auto"/>
          <w:spacing w:val="0"/>
          <w:w w:val="100"/>
          <w:kern w:val="0"/>
          <w:position w:val="0"/>
          <w:sz w:val="28"/>
          <w:szCs w:val="28"/>
          <w:lang w:val="en-US" w:eastAsia="zh-CN" w:bidi="ar"/>
        </w:rPr>
        <w:t>）</w:t>
      </w:r>
      <w:r>
        <w:rPr>
          <w:rFonts w:hint="default" w:ascii="仿宋_GB2312" w:hAnsi="仿宋_GB2312" w:eastAsia="仿宋_GB2312" w:cs="仿宋_GB2312"/>
          <w:b w:val="0"/>
          <w:spacing w:val="0"/>
          <w:kern w:val="0"/>
          <w:sz w:val="28"/>
          <w:szCs w:val="28"/>
          <w:lang w:val="en-US" w:eastAsia="zh-CN" w:bidi="ar"/>
        </w:rPr>
        <w:t>，愿意以总价：</w:t>
      </w:r>
      <w:r>
        <w:rPr>
          <w:rFonts w:hint="default" w:ascii="Times New Roman" w:hAnsi="仿宋_GB2312" w:eastAsia="仿宋_GB2312" w:cs="仿宋_GB2312"/>
          <w:b w:val="0"/>
          <w:spacing w:val="0"/>
          <w:kern w:val="0"/>
          <w:sz w:val="28"/>
          <w:szCs w:val="28"/>
          <w:lang w:val="en-US" w:eastAsia="zh-CN" w:bidi="ar"/>
        </w:rPr>
        <w:t xml:space="preserve">         元（大写：            ）承接该项目</w:t>
      </w:r>
      <w:r>
        <w:rPr>
          <w:rFonts w:hint="eastAsia" w:ascii="Times New Roman" w:hAnsi="仿宋_GB2312" w:eastAsia="仿宋_GB2312" w:cs="仿宋_GB2312"/>
          <w:b w:val="0"/>
          <w:spacing w:val="0"/>
          <w:kern w:val="0"/>
          <w:sz w:val="28"/>
          <w:szCs w:val="28"/>
          <w:lang w:val="en-US" w:eastAsia="zh-CN" w:bidi="ar"/>
        </w:rPr>
        <w:t>，税率（  %）</w:t>
      </w:r>
      <w:r>
        <w:rPr>
          <w:rFonts w:hint="default" w:ascii="Times New Roman" w:hAnsi="仿宋_GB2312" w:eastAsia="仿宋_GB2312" w:cs="仿宋_GB2312"/>
          <w:b w:val="0"/>
          <w:spacing w:val="0"/>
          <w:kern w:val="0"/>
          <w:sz w:val="28"/>
          <w:szCs w:val="28"/>
          <w:lang w:val="en-US" w:eastAsia="zh-CN" w:bidi="ar"/>
        </w:rPr>
        <w:t>。</w:t>
      </w:r>
      <w:r>
        <w:rPr>
          <w:rFonts w:hint="default" w:ascii="Times New Roman" w:hAnsi="仿宋_GB2312" w:eastAsia="仿宋_GB2312" w:cs="仿宋_GB2312"/>
          <w:b/>
          <w:bCs/>
          <w:spacing w:val="0"/>
          <w:kern w:val="0"/>
          <w:sz w:val="28"/>
          <w:szCs w:val="28"/>
          <w:lang w:val="en-US" w:eastAsia="zh-CN" w:bidi="ar"/>
        </w:rPr>
        <w:t>按包干总价报价</w:t>
      </w:r>
      <w:r>
        <w:rPr>
          <w:rFonts w:hint="default" w:ascii="Times New Roman" w:hAnsi="仿宋_GB2312" w:eastAsia="仿宋_GB2312" w:cs="仿宋_GB2312"/>
          <w:b w:val="0"/>
          <w:spacing w:val="0"/>
          <w:kern w:val="0"/>
          <w:sz w:val="28"/>
          <w:szCs w:val="28"/>
          <w:lang w:val="en-US" w:eastAsia="zh-CN" w:bidi="ar"/>
        </w:rPr>
        <w:t>，其中包括税费、交通、食宿和其他</w:t>
      </w:r>
      <w:r>
        <w:rPr>
          <w:rFonts w:hint="eastAsia" w:ascii="Times New Roman" w:hAnsi="仿宋_GB2312" w:eastAsia="仿宋_GB2312" w:cs="仿宋_GB2312"/>
          <w:b w:val="0"/>
          <w:spacing w:val="0"/>
          <w:kern w:val="0"/>
          <w:sz w:val="28"/>
          <w:szCs w:val="28"/>
          <w:lang w:val="en-US" w:eastAsia="zh-CN" w:bidi="ar"/>
        </w:rPr>
        <w:t>完成该项目所需的</w:t>
      </w:r>
      <w:r>
        <w:rPr>
          <w:rFonts w:hint="default" w:ascii="Times New Roman" w:hAnsi="仿宋_GB2312" w:eastAsia="仿宋_GB2312" w:cs="仿宋_GB2312"/>
          <w:b w:val="0"/>
          <w:spacing w:val="0"/>
          <w:kern w:val="0"/>
          <w:sz w:val="28"/>
          <w:szCs w:val="28"/>
          <w:lang w:val="en-US" w:eastAsia="zh-CN" w:bidi="ar"/>
        </w:rPr>
        <w:t xml:space="preserve">相关费用。 </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Times New Roman" w:hAnsi="仿宋_GB2312" w:eastAsia="仿宋_GB2312" w:cs="仿宋_GB2312"/>
          <w:b w:val="0"/>
          <w:spacing w:val="0"/>
          <w:kern w:val="0"/>
          <w:sz w:val="28"/>
          <w:szCs w:val="28"/>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left="0" w:leftChars="0" w:right="0" w:rightChars="0" w:firstLine="560" w:firstLineChars="200"/>
        <w:jc w:val="both"/>
        <w:textAlignment w:val="auto"/>
        <w:rPr>
          <w:rFonts w:hint="default"/>
          <w:sz w:val="20"/>
          <w:szCs w:val="22"/>
          <w:lang w:val="en-US" w:eastAsia="zh-CN"/>
        </w:rPr>
      </w:pPr>
      <w:r>
        <w:rPr>
          <w:rFonts w:hint="default" w:ascii="仿宋_GB2312" w:hAnsi="仿宋_GB2312" w:eastAsia="仿宋_GB2312" w:cs="仿宋_GB2312"/>
          <w:b w:val="0"/>
          <w:spacing w:val="0"/>
          <w:kern w:val="0"/>
          <w:sz w:val="28"/>
          <w:szCs w:val="28"/>
          <w:lang w:val="en-US" w:eastAsia="zh-CN" w:bidi="ar"/>
        </w:rPr>
        <w:t xml:space="preserve"> 附：</w:t>
      </w:r>
      <w:r>
        <w:rPr>
          <w:rFonts w:hint="eastAsia" w:ascii="仿宋_GB2312" w:hAnsi="仿宋_GB2312" w:eastAsia="仿宋_GB2312" w:cs="仿宋_GB2312"/>
          <w:b w:val="0"/>
          <w:spacing w:val="0"/>
          <w:kern w:val="0"/>
          <w:sz w:val="28"/>
          <w:szCs w:val="28"/>
          <w:lang w:val="en-US" w:eastAsia="zh-CN" w:bidi="ar"/>
        </w:rPr>
        <w:t>1.</w:t>
      </w:r>
      <w:r>
        <w:rPr>
          <w:rFonts w:hint="eastAsia" w:ascii="Times New Roman" w:hAnsi="仿宋_GB2312" w:eastAsia="仿宋_GB2312" w:cs="仿宋_GB2312"/>
          <w:b w:val="0"/>
          <w:snapToGrid w:val="0"/>
          <w:spacing w:val="0"/>
          <w:w w:val="100"/>
          <w:kern w:val="0"/>
          <w:position w:val="0"/>
          <w:sz w:val="28"/>
          <w:szCs w:val="28"/>
          <w:lang w:val="en-US" w:eastAsia="zh-CN"/>
        </w:rPr>
        <w:t>报价清单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right="0" w:rightChars="0" w:firstLine="1120" w:firstLineChars="400"/>
        <w:jc w:val="both"/>
        <w:textAlignment w:val="auto"/>
        <w:rPr>
          <w:rFonts w:hint="eastAsia" w:ascii="仿宋_GB2312" w:hAnsi="仿宋_GB2312" w:eastAsia="仿宋_GB2312" w:cs="仿宋_GB2312"/>
          <w:b w:val="0"/>
          <w:spacing w:val="0"/>
          <w:kern w:val="0"/>
          <w:sz w:val="28"/>
          <w:szCs w:val="28"/>
          <w:lang w:val="en-US" w:eastAsia="zh-CN" w:bidi="ar"/>
        </w:rPr>
      </w:pPr>
      <w:r>
        <w:rPr>
          <w:rFonts w:hint="eastAsia" w:ascii="仿宋_GB2312" w:hAnsi="仿宋_GB2312" w:eastAsia="仿宋_GB2312" w:cs="仿宋_GB2312"/>
          <w:b w:val="0"/>
          <w:spacing w:val="0"/>
          <w:kern w:val="0"/>
          <w:sz w:val="28"/>
          <w:szCs w:val="28"/>
          <w:lang w:val="en-US" w:eastAsia="zh-CN" w:bidi="ar"/>
        </w:rPr>
        <w:t>2.</w:t>
      </w:r>
      <w:r>
        <w:rPr>
          <w:rFonts w:hint="default" w:ascii="仿宋_GB2312" w:hAnsi="仿宋_GB2312" w:eastAsia="仿宋_GB2312" w:cs="仿宋_GB2312"/>
          <w:b w:val="0"/>
          <w:spacing w:val="0"/>
          <w:kern w:val="0"/>
          <w:sz w:val="28"/>
          <w:szCs w:val="28"/>
          <w:lang w:val="en-US" w:eastAsia="zh-CN" w:bidi="ar"/>
        </w:rPr>
        <w:t>营业执照</w:t>
      </w:r>
      <w:r>
        <w:rPr>
          <w:rFonts w:hint="eastAsia" w:ascii="仿宋_GB2312" w:hAnsi="仿宋_GB2312" w:eastAsia="仿宋_GB2312" w:cs="仿宋_GB2312"/>
          <w:b w:val="0"/>
          <w:spacing w:val="0"/>
          <w:kern w:val="0"/>
          <w:sz w:val="28"/>
          <w:szCs w:val="28"/>
          <w:lang w:val="en-US" w:eastAsia="zh-CN" w:bidi="ar"/>
        </w:rPr>
        <w:t>、开户行信息</w:t>
      </w:r>
      <w:r>
        <w:rPr>
          <w:rFonts w:hint="default" w:ascii="仿宋_GB2312" w:hAnsi="仿宋_GB2312" w:eastAsia="仿宋_GB2312" w:cs="仿宋_GB2312"/>
          <w:b w:val="0"/>
          <w:spacing w:val="0"/>
          <w:kern w:val="0"/>
          <w:sz w:val="28"/>
          <w:szCs w:val="28"/>
          <w:lang w:val="en-US" w:eastAsia="zh-CN" w:bidi="ar"/>
        </w:rPr>
        <w:t>加盖公章的复印件</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Times New Roman" w:hAnsi="仿宋_GB2312" w:eastAsia="仿宋_GB2312" w:cs="仿宋_GB2312"/>
          <w:b w:val="0"/>
          <w:spacing w:val="0"/>
          <w:kern w:val="0"/>
          <w:sz w:val="28"/>
          <w:szCs w:val="28"/>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rPr>
      </w:pPr>
      <w:r>
        <w:rPr>
          <w:rFonts w:hint="default" w:ascii="仿宋_GB2312" w:hAnsi="仿宋_GB2312" w:eastAsia="仿宋_GB2312" w:cs="仿宋_GB2312"/>
          <w:b w:val="0"/>
          <w:spacing w:val="0"/>
          <w:kern w:val="0"/>
          <w:sz w:val="28"/>
          <w:szCs w:val="28"/>
          <w:lang w:val="en-US" w:eastAsia="zh-CN" w:bidi="ar"/>
        </w:rPr>
        <w:t>单位名称：</w:t>
      </w:r>
      <w:r>
        <w:rPr>
          <w:rFonts w:hint="default" w:ascii="Times New Roman" w:hAnsi="仿宋_GB2312" w:eastAsia="仿宋_GB2312" w:cs="仿宋_GB2312"/>
          <w:b w:val="0"/>
          <w:spacing w:val="0"/>
          <w:kern w:val="0"/>
          <w:sz w:val="28"/>
          <w:szCs w:val="28"/>
          <w:lang w:val="en-US" w:eastAsia="zh-CN" w:bidi="ar"/>
        </w:rPr>
        <w:t xml:space="preserve">                  （盖公章）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left="0" w:leftChars="0" w:right="0" w:rightChars="0" w:firstLine="560" w:firstLineChars="200"/>
        <w:jc w:val="both"/>
        <w:textAlignment w:val="auto"/>
        <w:rPr>
          <w:rFonts w:hint="default" w:ascii="Times New Roman" w:hAnsi="仿宋_GB2312" w:eastAsia="仿宋_GB2312" w:cs="仿宋_GB2312"/>
          <w:b w:val="0"/>
          <w:spacing w:val="0"/>
          <w:kern w:val="0"/>
          <w:sz w:val="28"/>
          <w:szCs w:val="28"/>
        </w:rPr>
      </w:pPr>
      <w:r>
        <w:rPr>
          <w:rFonts w:hint="default" w:ascii="仿宋_GB2312" w:hAnsi="仿宋_GB2312" w:eastAsia="仿宋_GB2312" w:cs="仿宋_GB2312"/>
          <w:b w:val="0"/>
          <w:spacing w:val="0"/>
          <w:kern w:val="0"/>
          <w:sz w:val="28"/>
          <w:szCs w:val="28"/>
          <w:lang w:val="en-US" w:eastAsia="zh-CN" w:bidi="ar"/>
        </w:rPr>
        <w:t>联</w:t>
      </w:r>
      <w:r>
        <w:rPr>
          <w:rFonts w:hint="default" w:ascii="Times New Roman" w:hAnsi="仿宋_GB2312" w:eastAsia="仿宋_GB2312" w:cs="仿宋_GB2312"/>
          <w:b w:val="0"/>
          <w:spacing w:val="0"/>
          <w:kern w:val="0"/>
          <w:sz w:val="28"/>
          <w:szCs w:val="28"/>
          <w:lang w:val="en-US" w:eastAsia="zh-CN" w:bidi="ar"/>
        </w:rPr>
        <w:t xml:space="preserve"> 系 人：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val="0"/>
        <w:snapToGrid w:val="0"/>
        <w:spacing w:before="0" w:beforeAutospacing="0" w:after="0" w:afterAutospacing="0" w:line="570" w:lineRule="exact"/>
        <w:ind w:left="0" w:leftChars="0" w:right="0" w:rightChars="0" w:firstLine="560" w:firstLineChars="200"/>
        <w:jc w:val="both"/>
        <w:textAlignment w:val="auto"/>
        <w:rPr>
          <w:rFonts w:hint="default" w:ascii="仿宋_GB2312" w:hAnsi="仿宋_GB2312" w:eastAsia="仿宋_GB2312" w:cs="仿宋_GB2312"/>
          <w:b w:val="0"/>
          <w:spacing w:val="0"/>
          <w:kern w:val="0"/>
          <w:sz w:val="28"/>
          <w:szCs w:val="28"/>
          <w:lang w:val="en-US" w:eastAsia="zh-CN" w:bidi="ar"/>
        </w:rPr>
      </w:pPr>
      <w:r>
        <w:rPr>
          <w:rFonts w:hint="default" w:ascii="仿宋_GB2312" w:hAnsi="仿宋_GB2312" w:eastAsia="仿宋_GB2312" w:cs="仿宋_GB2312"/>
          <w:b w:val="0"/>
          <w:spacing w:val="0"/>
          <w:kern w:val="0"/>
          <w:sz w:val="28"/>
          <w:szCs w:val="28"/>
          <w:lang w:val="en-US" w:eastAsia="zh-CN" w:bidi="ar"/>
        </w:rPr>
        <w:t>联系电话：</w:t>
      </w:r>
    </w:p>
    <w:p>
      <w:pPr>
        <w:pStyle w:val="4"/>
        <w:keepNext w:val="0"/>
        <w:keepLines w:val="0"/>
        <w:pageBreakBefore w:val="0"/>
        <w:widowControl w:val="0"/>
        <w:kinsoku/>
        <w:wordWrap/>
        <w:overflowPunct/>
        <w:topLinePunct w:val="0"/>
        <w:autoSpaceDN/>
        <w:bidi w:val="0"/>
        <w:spacing w:line="570" w:lineRule="exact"/>
        <w:textAlignment w:val="auto"/>
        <w:rPr>
          <w:rFonts w:hint="default"/>
          <w:sz w:val="28"/>
          <w:szCs w:val="22"/>
          <w:lang w:val="en-US"/>
        </w:rPr>
      </w:pPr>
      <w:r>
        <w:rPr>
          <w:rFonts w:hint="eastAsia" w:ascii="仿宋_GB2312" w:hAnsi="仿宋_GB2312" w:eastAsia="仿宋_GB2312" w:cs="仿宋_GB2312"/>
          <w:b w:val="0"/>
          <w:spacing w:val="0"/>
          <w:kern w:val="0"/>
          <w:sz w:val="28"/>
          <w:szCs w:val="28"/>
          <w:lang w:val="en-US" w:eastAsia="zh-CN" w:bidi="ar"/>
        </w:rPr>
        <w:t>电子邮箱：</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both"/>
        <w:rPr>
          <w:rFonts w:hint="default" w:ascii="Times New Roman" w:hAnsi="仿宋_GB2312" w:eastAsia="仿宋_GB2312" w:cs="仿宋_GB2312"/>
          <w:b w:val="0"/>
          <w:spacing w:val="0"/>
          <w:kern w:val="0"/>
          <w:sz w:val="28"/>
          <w:szCs w:val="28"/>
          <w:lang w:val="en-US" w:eastAsia="zh-CN" w:bidi="ar"/>
        </w:rPr>
      </w:pPr>
      <w:r>
        <w:rPr>
          <w:rFonts w:hint="default" w:ascii="Times New Roman" w:hAnsi="仿宋_GB2312" w:eastAsia="仿宋_GB2312" w:cs="仿宋_GB2312"/>
          <w:b w:val="0"/>
          <w:spacing w:val="0"/>
          <w:kern w:val="0"/>
          <w:sz w:val="28"/>
          <w:szCs w:val="28"/>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right"/>
        <w:rPr>
          <w:rFonts w:hint="default" w:ascii="Times New Roman" w:hAnsi="Calibri" w:eastAsia="仿宋_GB2312" w:cs="仿宋_GB2312"/>
          <w:b w:val="0"/>
          <w:spacing w:val="0"/>
          <w:kern w:val="0"/>
          <w:sz w:val="28"/>
          <w:szCs w:val="28"/>
          <w:lang w:val="en-US" w:eastAsia="zh-CN" w:bidi="ar"/>
        </w:rPr>
      </w:pPr>
      <w:r>
        <w:rPr>
          <w:rFonts w:hint="default" w:ascii="Times New Roman" w:hAnsi="Calibri" w:eastAsia="仿宋_GB2312" w:cs="仿宋_GB2312"/>
          <w:b w:val="0"/>
          <w:spacing w:val="0"/>
          <w:kern w:val="0"/>
          <w:sz w:val="28"/>
          <w:szCs w:val="28"/>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adjustRightInd w:val="0"/>
        <w:snapToGrid w:val="0"/>
        <w:spacing w:before="0" w:beforeAutospacing="0" w:after="0" w:afterAutospacing="0" w:line="570" w:lineRule="exact"/>
        <w:ind w:left="0" w:leftChars="0" w:right="0" w:rightChars="0" w:firstLine="560" w:firstLineChars="200"/>
        <w:jc w:val="right"/>
        <w:rPr>
          <w:rFonts w:hint="eastAsia" w:ascii="Times New Roman" w:hAnsi="Calibri" w:eastAsia="方正小标宋简体" w:cs="Times New Roman"/>
          <w:b w:val="0"/>
          <w:snapToGrid w:val="0"/>
          <w:color w:val="auto"/>
          <w:spacing w:val="0"/>
          <w:w w:val="100"/>
          <w:kern w:val="0"/>
          <w:position w:val="0"/>
          <w:sz w:val="40"/>
          <w:szCs w:val="22"/>
          <w:lang w:val="en-US" w:eastAsia="zh-CN" w:bidi="ar-SA"/>
        </w:rPr>
      </w:pPr>
      <w:r>
        <w:rPr>
          <w:rFonts w:hint="default" w:ascii="仿宋_GB2312" w:hAnsi="仿宋_GB2312" w:eastAsia="仿宋_GB2312" w:cs="仿宋_GB2312"/>
          <w:b w:val="0"/>
          <w:spacing w:val="0"/>
          <w:kern w:val="0"/>
          <w:sz w:val="28"/>
          <w:szCs w:val="28"/>
          <w:lang w:val="en-US" w:eastAsia="zh-CN" w:bidi="ar"/>
        </w:rPr>
        <w:t>日</w:t>
      </w:r>
      <w:r>
        <w:rPr>
          <w:rFonts w:hint="default" w:ascii="Times New Roman" w:hAnsi="仿宋_GB2312" w:eastAsia="仿宋_GB2312" w:cs="仿宋_GB2312"/>
          <w:b w:val="0"/>
          <w:spacing w:val="0"/>
          <w:kern w:val="0"/>
          <w:sz w:val="28"/>
          <w:szCs w:val="28"/>
          <w:lang w:val="en-US" w:eastAsia="zh-CN" w:bidi="ar"/>
        </w:rPr>
        <w:t xml:space="preserve">     期：    年    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8"/>
          <w:rFonts w:hint="eastAsia" w:ascii="方正小标宋简体" w:hAnsi="方正小标宋简体" w:eastAsia="方正小标宋简体" w:cs="方正小标宋简体"/>
          <w:i w:val="0"/>
          <w:iCs w:val="0"/>
          <w:caps w:val="0"/>
          <w:color w:val="000000"/>
          <w:spacing w:val="0"/>
          <w:sz w:val="44"/>
          <w:szCs w:val="44"/>
          <w:lang w:val="en-US" w:eastAsia="zh-CN"/>
        </w:rPr>
      </w:pPr>
    </w:p>
    <w:p>
      <w:pPr>
        <w:spacing w:line="360" w:lineRule="exact"/>
        <w:jc w:val="left"/>
        <w:rPr>
          <w:rFonts w:hint="eastAsia"/>
          <w:b/>
          <w:sz w:val="36"/>
          <w:szCs w:val="36"/>
          <w:lang w:eastAsia="zh-CN"/>
        </w:rPr>
      </w:pPr>
      <w:r>
        <w:rPr>
          <w:rFonts w:hint="eastAsia"/>
          <w:b/>
          <w:sz w:val="36"/>
          <w:szCs w:val="36"/>
          <w:lang w:eastAsia="zh-CN"/>
        </w:rPr>
        <w:t>技术和服务要求</w:t>
      </w:r>
    </w:p>
    <w:p>
      <w:pPr>
        <w:spacing w:line="360" w:lineRule="exact"/>
        <w:jc w:val="left"/>
        <w:rPr>
          <w:b/>
          <w:bCs/>
          <w:szCs w:val="21"/>
        </w:rPr>
      </w:pPr>
      <w:r>
        <w:rPr>
          <w:rFonts w:hint="eastAsia"/>
          <w:b/>
          <w:bCs/>
          <w:szCs w:val="21"/>
        </w:rPr>
        <w:t>（一）安全服务</w:t>
      </w:r>
    </w:p>
    <w:p>
      <w:pPr>
        <w:spacing w:line="360" w:lineRule="exact"/>
        <w:ind w:firstLine="422" w:firstLineChars="200"/>
        <w:jc w:val="left"/>
        <w:rPr>
          <w:b/>
          <w:bCs/>
          <w:szCs w:val="21"/>
        </w:rPr>
      </w:pPr>
      <w:bookmarkStart w:id="0" w:name="_Toc10447442"/>
      <w:bookmarkStart w:id="1" w:name="_Toc454131287"/>
      <w:bookmarkStart w:id="2" w:name="_Toc17122244"/>
      <w:bookmarkStart w:id="3" w:name="_Toc480487989"/>
      <w:bookmarkStart w:id="4" w:name="_Toc19019507"/>
      <w:bookmarkStart w:id="5" w:name="_Toc515438212"/>
      <w:r>
        <w:rPr>
          <w:b/>
          <w:bCs/>
          <w:szCs w:val="21"/>
        </w:rPr>
        <w:t>1</w:t>
      </w:r>
      <w:r>
        <w:rPr>
          <w:rFonts w:hint="eastAsia"/>
          <w:b/>
          <w:bCs/>
          <w:szCs w:val="21"/>
        </w:rPr>
        <w:t xml:space="preserve"> 等保咨询服务</w:t>
      </w:r>
    </w:p>
    <w:bookmarkEnd w:id="0"/>
    <w:bookmarkEnd w:id="1"/>
    <w:bookmarkEnd w:id="2"/>
    <w:bookmarkEnd w:id="3"/>
    <w:bookmarkEnd w:id="4"/>
    <w:bookmarkEnd w:id="5"/>
    <w:p>
      <w:pPr>
        <w:spacing w:line="360" w:lineRule="exact"/>
        <w:ind w:firstLine="420" w:firstLineChars="200"/>
        <w:jc w:val="left"/>
        <w:rPr>
          <w:szCs w:val="21"/>
        </w:rPr>
      </w:pPr>
      <w:bookmarkStart w:id="6" w:name="_Toc515438213"/>
      <w:bookmarkStart w:id="7" w:name="_Toc17122245"/>
      <w:bookmarkStart w:id="8" w:name="_Toc19019508"/>
      <w:bookmarkStart w:id="9" w:name="_Toc10447443"/>
      <w:bookmarkStart w:id="10" w:name="_Toc454131288"/>
      <w:bookmarkStart w:id="11" w:name="_Toc480487990"/>
      <w:r>
        <w:rPr>
          <w:szCs w:val="21"/>
        </w:rPr>
        <w:t>1.1</w:t>
      </w:r>
      <w:r>
        <w:rPr>
          <w:rFonts w:hint="eastAsia"/>
          <w:szCs w:val="21"/>
        </w:rPr>
        <w:t>等级保护差距分析</w:t>
      </w:r>
      <w:bookmarkEnd w:id="6"/>
      <w:bookmarkEnd w:id="7"/>
      <w:bookmarkEnd w:id="8"/>
      <w:bookmarkEnd w:id="9"/>
      <w:bookmarkEnd w:id="10"/>
      <w:bookmarkEnd w:id="11"/>
    </w:p>
    <w:p>
      <w:pPr>
        <w:spacing w:line="360" w:lineRule="exact"/>
        <w:ind w:firstLine="420" w:firstLineChars="200"/>
        <w:jc w:val="left"/>
        <w:rPr>
          <w:szCs w:val="21"/>
        </w:rPr>
      </w:pPr>
      <w:r>
        <w:rPr>
          <w:rFonts w:hint="eastAsia"/>
          <w:szCs w:val="21"/>
        </w:rPr>
        <w:t>完成定级备案工作后，对信息系统执行一次完整的等级保护差距分析服务，按照等级保护基本要求和等级保护测评准则实施自我预测评工作，并根据测评结果弥补缺漏，为申请测评做准备。</w:t>
      </w:r>
    </w:p>
    <w:p>
      <w:pPr>
        <w:spacing w:line="360" w:lineRule="exact"/>
        <w:ind w:firstLine="420" w:firstLineChars="200"/>
        <w:jc w:val="left"/>
        <w:rPr>
          <w:szCs w:val="21"/>
        </w:rPr>
      </w:pPr>
      <w:bookmarkStart w:id="12" w:name="_Toc480487991"/>
      <w:bookmarkStart w:id="13" w:name="_Toc454131289"/>
      <w:bookmarkStart w:id="14" w:name="_Toc17122246"/>
      <w:bookmarkStart w:id="15" w:name="_Toc10447444"/>
      <w:bookmarkStart w:id="16" w:name="_Toc19019509"/>
      <w:bookmarkStart w:id="17" w:name="_Toc515438214"/>
      <w:r>
        <w:rPr>
          <w:szCs w:val="21"/>
        </w:rPr>
        <w:t>1.2</w:t>
      </w:r>
      <w:r>
        <w:rPr>
          <w:rFonts w:hint="eastAsia"/>
          <w:szCs w:val="21"/>
        </w:rPr>
        <w:t>等级保护规划与整改方案设计</w:t>
      </w:r>
      <w:bookmarkEnd w:id="12"/>
      <w:bookmarkEnd w:id="13"/>
      <w:bookmarkEnd w:id="14"/>
      <w:bookmarkEnd w:id="15"/>
      <w:bookmarkEnd w:id="16"/>
      <w:bookmarkEnd w:id="17"/>
    </w:p>
    <w:p>
      <w:pPr>
        <w:spacing w:line="360" w:lineRule="exact"/>
        <w:ind w:firstLine="420" w:firstLineChars="200"/>
        <w:jc w:val="left"/>
        <w:rPr>
          <w:szCs w:val="21"/>
        </w:rPr>
      </w:pPr>
      <w:r>
        <w:rPr>
          <w:rFonts w:hint="eastAsia"/>
          <w:szCs w:val="21"/>
        </w:rPr>
        <w:t>经过差距分析后，给出专家级的等保规划整改建议方，协助甲方制定纲领性的安全策略文件，包括确定安全方针，制定安全策略，以便结合等级保护基本要求和安全保护特殊要求，构建机构信息系统的安全技术体系结构和安全管理体系结构。</w:t>
      </w:r>
    </w:p>
    <w:p>
      <w:pPr>
        <w:spacing w:line="360" w:lineRule="exact"/>
        <w:ind w:firstLine="420" w:firstLineChars="200"/>
        <w:jc w:val="left"/>
        <w:rPr>
          <w:szCs w:val="21"/>
        </w:rPr>
      </w:pPr>
      <w:bookmarkStart w:id="18" w:name="_Toc10447445"/>
      <w:bookmarkStart w:id="19" w:name="_Toc480487992"/>
      <w:bookmarkStart w:id="20" w:name="_Toc454131290"/>
      <w:bookmarkStart w:id="21" w:name="_Toc515438215"/>
      <w:bookmarkStart w:id="22" w:name="_Toc17122247"/>
      <w:bookmarkStart w:id="23" w:name="_Toc19019510"/>
      <w:r>
        <w:rPr>
          <w:rFonts w:hint="eastAsia"/>
          <w:szCs w:val="21"/>
        </w:rPr>
        <w:t>1.</w:t>
      </w:r>
      <w:r>
        <w:rPr>
          <w:szCs w:val="21"/>
        </w:rPr>
        <w:t>3</w:t>
      </w:r>
      <w:r>
        <w:rPr>
          <w:rFonts w:hint="eastAsia"/>
          <w:szCs w:val="21"/>
        </w:rPr>
        <w:t>等级保护整改实施与安全加固</w:t>
      </w:r>
      <w:bookmarkEnd w:id="18"/>
      <w:bookmarkEnd w:id="19"/>
      <w:bookmarkEnd w:id="20"/>
      <w:bookmarkEnd w:id="21"/>
      <w:bookmarkEnd w:id="22"/>
      <w:bookmarkEnd w:id="23"/>
    </w:p>
    <w:p>
      <w:pPr>
        <w:spacing w:line="360" w:lineRule="exact"/>
        <w:ind w:firstLine="420" w:firstLineChars="200"/>
        <w:jc w:val="left"/>
        <w:rPr>
          <w:szCs w:val="21"/>
        </w:rPr>
      </w:pPr>
      <w:r>
        <w:rPr>
          <w:rFonts w:hint="eastAsia"/>
          <w:szCs w:val="21"/>
        </w:rPr>
        <w:t>在整改方案确定之后。协助甲方依据整改建议对信息系统实施安全加固，等级保护安全加固包括应用信息系统相关的网络结构化设计，网络设备安全防护加固，服务器主机安全加固，数据库系统安全加固，中间件系统安全加固，应用服务漏洞检测与加固服务等多方面的加固内容。</w:t>
      </w:r>
      <w:bookmarkStart w:id="24" w:name="_Toc17122248"/>
      <w:bookmarkStart w:id="25" w:name="_Toc515438216"/>
      <w:bookmarkStart w:id="26" w:name="_Toc19019511"/>
      <w:bookmarkStart w:id="27" w:name="_Toc454131291"/>
      <w:bookmarkStart w:id="28" w:name="_Toc480487993"/>
      <w:bookmarkStart w:id="29" w:name="_Toc10447446"/>
    </w:p>
    <w:p>
      <w:pPr>
        <w:spacing w:line="360" w:lineRule="exact"/>
        <w:ind w:firstLine="420" w:firstLineChars="200"/>
        <w:jc w:val="left"/>
        <w:rPr>
          <w:szCs w:val="21"/>
        </w:rPr>
      </w:pPr>
      <w:r>
        <w:rPr>
          <w:rFonts w:hint="eastAsia"/>
          <w:szCs w:val="21"/>
        </w:rPr>
        <w:t>1.</w:t>
      </w:r>
      <w:r>
        <w:rPr>
          <w:szCs w:val="21"/>
        </w:rPr>
        <w:t>4</w:t>
      </w:r>
      <w:r>
        <w:rPr>
          <w:rFonts w:hint="eastAsia"/>
          <w:szCs w:val="21"/>
        </w:rPr>
        <w:t>等级保护管理体系建设</w:t>
      </w:r>
      <w:bookmarkEnd w:id="24"/>
      <w:bookmarkEnd w:id="25"/>
      <w:bookmarkEnd w:id="26"/>
      <w:bookmarkEnd w:id="27"/>
      <w:bookmarkEnd w:id="28"/>
      <w:bookmarkEnd w:id="29"/>
    </w:p>
    <w:p>
      <w:pPr>
        <w:spacing w:line="360" w:lineRule="exact"/>
        <w:ind w:firstLine="420" w:firstLineChars="200"/>
        <w:jc w:val="left"/>
        <w:rPr>
          <w:szCs w:val="21"/>
        </w:rPr>
      </w:pPr>
      <w:r>
        <w:rPr>
          <w:rFonts w:hint="eastAsia"/>
          <w:szCs w:val="21"/>
        </w:rPr>
        <w:t>咨询顾问将根据等级保护安全管理的基本要求，为信息系统建立起信息安全策略、方针、各项安全管理制度、安全操作规范以及各类操作记录文档体系，使信息化管理能够在等级保护要求的管理体系下长期稳定运行。</w:t>
      </w:r>
    </w:p>
    <w:p>
      <w:pPr>
        <w:spacing w:line="360" w:lineRule="exact"/>
        <w:ind w:firstLine="420" w:firstLineChars="200"/>
        <w:jc w:val="left"/>
        <w:rPr>
          <w:szCs w:val="21"/>
        </w:rPr>
      </w:pPr>
      <w:bookmarkStart w:id="30" w:name="_Toc480487994"/>
      <w:bookmarkStart w:id="31" w:name="_Toc10447447"/>
      <w:bookmarkStart w:id="32" w:name="_Toc515438217"/>
      <w:bookmarkStart w:id="33" w:name="_Toc17122249"/>
      <w:bookmarkStart w:id="34" w:name="_Toc454131292"/>
      <w:bookmarkStart w:id="35" w:name="_Toc19019512"/>
      <w:r>
        <w:rPr>
          <w:rFonts w:hint="eastAsia"/>
          <w:szCs w:val="21"/>
        </w:rPr>
        <w:t>1.</w:t>
      </w:r>
      <w:r>
        <w:rPr>
          <w:szCs w:val="21"/>
        </w:rPr>
        <w:t>5</w:t>
      </w:r>
      <w:r>
        <w:rPr>
          <w:rFonts w:hint="eastAsia"/>
          <w:szCs w:val="21"/>
        </w:rPr>
        <w:t>等级保护测评辅助</w:t>
      </w:r>
      <w:bookmarkEnd w:id="30"/>
      <w:bookmarkEnd w:id="31"/>
      <w:bookmarkEnd w:id="32"/>
      <w:bookmarkEnd w:id="33"/>
      <w:bookmarkEnd w:id="34"/>
      <w:bookmarkEnd w:id="35"/>
    </w:p>
    <w:p>
      <w:pPr>
        <w:spacing w:line="360" w:lineRule="exact"/>
        <w:ind w:firstLine="420" w:firstLineChars="200"/>
        <w:jc w:val="left"/>
        <w:rPr>
          <w:szCs w:val="21"/>
        </w:rPr>
      </w:pPr>
      <w:r>
        <w:rPr>
          <w:rFonts w:hint="eastAsia"/>
          <w:szCs w:val="21"/>
        </w:rPr>
        <w:t>代理甲方向国家等保测评机构申请测评，根据测评要求，协助补充和准备测评所需的文档资料，如机房安全管理制度及相关记录、安全职责书说明、安全漏洞检测和系统升级管理制度及相关记录、权限管理制度及相关记录、备份制度及相关记录、防病毒管理制度和记录、第三方人员管理制度、安全事件报告制度、应急管理制度和应用预案等，确保符合国家等级保护测评需要。</w:t>
      </w:r>
    </w:p>
    <w:p>
      <w:pPr>
        <w:spacing w:line="360" w:lineRule="exact"/>
        <w:ind w:firstLine="420" w:firstLineChars="200"/>
        <w:jc w:val="left"/>
        <w:rPr>
          <w:rFonts w:hint="eastAsia"/>
          <w:szCs w:val="21"/>
          <w:lang w:val="en-US" w:eastAsia="zh-CN"/>
        </w:rPr>
      </w:pPr>
      <w:r>
        <w:rPr>
          <w:rFonts w:hint="eastAsia"/>
          <w:szCs w:val="21"/>
          <w:lang w:val="en-US" w:eastAsia="zh-CN"/>
        </w:rPr>
        <w:t>1.6渗透测试服务</w:t>
      </w:r>
    </w:p>
    <w:p>
      <w:pPr>
        <w:spacing w:line="360" w:lineRule="exact"/>
        <w:ind w:firstLine="420" w:firstLineChars="200"/>
        <w:jc w:val="left"/>
        <w:rPr>
          <w:rFonts w:hint="default"/>
          <w:szCs w:val="21"/>
          <w:lang w:val="en-US" w:eastAsia="zh-CN"/>
        </w:rPr>
      </w:pPr>
      <w:r>
        <w:rPr>
          <w:rFonts w:hint="default"/>
          <w:szCs w:val="21"/>
          <w:lang w:val="en-US" w:eastAsia="zh-CN"/>
        </w:rPr>
        <w:t>对应用系统进行渗透测试，全面检测Web应用程序的安全性，深度挖掘程序中存在的各种漏洞和所面临的威胁，漏洞测试覆盖OWASP十大漏洞，如XSS跨站脚本攻击漏洞、SQL注入漏洞、恶意代码上传漏洞及其它各种敏感信息的检查等。</w:t>
      </w:r>
    </w:p>
    <w:p>
      <w:pPr>
        <w:spacing w:line="360" w:lineRule="exact"/>
        <w:ind w:firstLine="422" w:firstLineChars="200"/>
        <w:jc w:val="left"/>
        <w:rPr>
          <w:b/>
          <w:bCs/>
          <w:szCs w:val="21"/>
        </w:rPr>
      </w:pPr>
      <w:r>
        <w:rPr>
          <w:b/>
          <w:bCs/>
          <w:szCs w:val="21"/>
        </w:rPr>
        <w:t>2</w:t>
      </w:r>
      <w:r>
        <w:rPr>
          <w:rFonts w:hint="eastAsia"/>
          <w:b/>
          <w:bCs/>
          <w:szCs w:val="21"/>
        </w:rPr>
        <w:t>、安全测评内容</w:t>
      </w:r>
    </w:p>
    <w:p>
      <w:pPr>
        <w:spacing w:line="360" w:lineRule="exact"/>
        <w:ind w:firstLine="420" w:firstLineChars="200"/>
        <w:jc w:val="left"/>
        <w:rPr>
          <w:szCs w:val="21"/>
        </w:rPr>
      </w:pPr>
      <w:r>
        <w:rPr>
          <w:szCs w:val="21"/>
        </w:rPr>
        <w:t>2</w:t>
      </w:r>
      <w:r>
        <w:rPr>
          <w:rFonts w:hint="eastAsia"/>
          <w:szCs w:val="21"/>
        </w:rPr>
        <w:t>.1</w:t>
      </w:r>
      <w:r>
        <w:rPr>
          <w:szCs w:val="21"/>
        </w:rPr>
        <w:t xml:space="preserve"> </w:t>
      </w:r>
      <w:r>
        <w:rPr>
          <w:rFonts w:hint="eastAsia"/>
          <w:szCs w:val="21"/>
        </w:rPr>
        <w:t>安全等级测评</w:t>
      </w:r>
    </w:p>
    <w:p>
      <w:pPr>
        <w:spacing w:line="360" w:lineRule="exact"/>
        <w:ind w:firstLine="420" w:firstLineChars="200"/>
        <w:jc w:val="left"/>
        <w:rPr>
          <w:szCs w:val="21"/>
        </w:rPr>
      </w:pPr>
      <w:r>
        <w:rPr>
          <w:rFonts w:hint="eastAsia"/>
          <w:szCs w:val="21"/>
        </w:rPr>
        <w:t>依照 GB/T 22239-2019《信息安全技术 网络安全等级保护基本要求》和《行业网络安全等级保护基本要求》对被测系统进行等级保护测评，确定不同等级业务系统当前安全防护现状，以及与国家和行业等级保护要求间的差距；分析其所面临的威胁及其存在的脆弱性，提出有针对性的抵御威胁的防护策略和整改措施，为防范和化解信息安全风险，将风险控制在可接受的水平，最大限度地防止由于信息系统安全事件引发安全事故，全面提高信息系统安全防护水平提供科学依据。</w:t>
      </w:r>
    </w:p>
    <w:p>
      <w:pPr>
        <w:spacing w:line="360" w:lineRule="exact"/>
        <w:ind w:firstLine="420" w:firstLineChars="200"/>
        <w:jc w:val="left"/>
        <w:rPr>
          <w:szCs w:val="21"/>
        </w:rPr>
      </w:pPr>
      <w:r>
        <w:rPr>
          <w:rFonts w:hint="eastAsia"/>
          <w:szCs w:val="21"/>
        </w:rPr>
        <w:t>等级测评将覆盖安全物理环境、安全通信网络、安全区域边界、安全计算环境、安全管理中心、安全管理制度等方面的内容，</w:t>
      </w:r>
      <w:r>
        <w:rPr>
          <w:szCs w:val="21"/>
        </w:rPr>
        <w:t>内容包括但不限于以下内容：</w:t>
      </w:r>
    </w:p>
    <w:p>
      <w:pPr>
        <w:spacing w:line="360" w:lineRule="exact"/>
        <w:ind w:firstLine="420" w:firstLineChars="200"/>
        <w:jc w:val="left"/>
        <w:rPr>
          <w:szCs w:val="21"/>
        </w:rPr>
      </w:pPr>
      <w:r>
        <w:rPr>
          <w:rFonts w:hint="eastAsia" w:ascii="微软雅黑" w:hAnsi="微软雅黑" w:eastAsia="微软雅黑" w:cs="微软雅黑"/>
          <w:szCs w:val="21"/>
        </w:rPr>
        <w:t xml:space="preserve">⑴ </w:t>
      </w:r>
      <w:r>
        <w:rPr>
          <w:rFonts w:hint="eastAsia"/>
          <w:szCs w:val="21"/>
        </w:rPr>
        <w:t>总体要求测评</w:t>
      </w:r>
      <w:r>
        <w:rPr>
          <w:szCs w:val="21"/>
        </w:rPr>
        <w:t>：</w:t>
      </w:r>
      <w:r>
        <w:rPr>
          <w:rFonts w:hint="eastAsia"/>
          <w:szCs w:val="21"/>
        </w:rPr>
        <w:t>包括总体技术要求、总体管理要求</w:t>
      </w:r>
      <w:r>
        <w:rPr>
          <w:szCs w:val="21"/>
        </w:rPr>
        <w:t>；</w:t>
      </w:r>
    </w:p>
    <w:p>
      <w:pPr>
        <w:spacing w:line="360" w:lineRule="exact"/>
        <w:ind w:firstLine="420" w:firstLineChars="200"/>
        <w:jc w:val="left"/>
        <w:rPr>
          <w:szCs w:val="21"/>
        </w:rPr>
      </w:pPr>
      <w:r>
        <w:rPr>
          <w:rFonts w:hint="eastAsia" w:ascii="微软雅黑" w:hAnsi="微软雅黑" w:eastAsia="微软雅黑" w:cs="微软雅黑"/>
          <w:szCs w:val="21"/>
        </w:rPr>
        <w:t xml:space="preserve">⑵ </w:t>
      </w:r>
      <w:r>
        <w:rPr>
          <w:szCs w:val="21"/>
        </w:rPr>
        <w:t>安全技术测评：</w:t>
      </w:r>
      <w:r>
        <w:rPr>
          <w:rFonts w:hint="eastAsia"/>
          <w:szCs w:val="21"/>
        </w:rPr>
        <w:t>安全物理环境、安全通信网络、安全区域边界、安全计算环境、安全管理中心</w:t>
      </w:r>
      <w:r>
        <w:rPr>
          <w:szCs w:val="21"/>
        </w:rPr>
        <w:t>等</w:t>
      </w:r>
      <w:r>
        <w:rPr>
          <w:rFonts w:hint="eastAsia"/>
          <w:szCs w:val="21"/>
        </w:rPr>
        <w:t>五</w:t>
      </w:r>
      <w:r>
        <w:rPr>
          <w:szCs w:val="21"/>
        </w:rPr>
        <w:t>个</w:t>
      </w:r>
      <w:r>
        <w:rPr>
          <w:rFonts w:hint="eastAsia"/>
          <w:szCs w:val="21"/>
        </w:rPr>
        <w:t>方面的安全</w:t>
      </w:r>
      <w:r>
        <w:rPr>
          <w:szCs w:val="21"/>
        </w:rPr>
        <w:t>测评；</w:t>
      </w:r>
    </w:p>
    <w:p>
      <w:pPr>
        <w:spacing w:line="360" w:lineRule="exact"/>
        <w:ind w:firstLine="420" w:firstLineChars="200"/>
        <w:jc w:val="left"/>
        <w:rPr>
          <w:szCs w:val="21"/>
        </w:rPr>
      </w:pPr>
      <w:r>
        <w:rPr>
          <w:rFonts w:hint="eastAsia" w:ascii="微软雅黑" w:hAnsi="微软雅黑" w:eastAsia="微软雅黑" w:cs="微软雅黑"/>
          <w:szCs w:val="21"/>
        </w:rPr>
        <w:t xml:space="preserve">⑶ </w:t>
      </w:r>
      <w:r>
        <w:rPr>
          <w:szCs w:val="21"/>
        </w:rPr>
        <w:t>安全管理测评：安全管理制度、安全管理机构、安全管理人员、</w:t>
      </w:r>
      <w:r>
        <w:rPr>
          <w:rFonts w:hint="eastAsia"/>
          <w:szCs w:val="21"/>
        </w:rPr>
        <w:t>安全</w:t>
      </w:r>
      <w:r>
        <w:rPr>
          <w:szCs w:val="21"/>
        </w:rPr>
        <w:t>建设管理和</w:t>
      </w:r>
      <w:r>
        <w:rPr>
          <w:rFonts w:hint="eastAsia"/>
          <w:szCs w:val="21"/>
        </w:rPr>
        <w:t>安全</w:t>
      </w:r>
      <w:r>
        <w:rPr>
          <w:szCs w:val="21"/>
        </w:rPr>
        <w:t>运维管理等五个方面的安全控制测评；</w:t>
      </w:r>
    </w:p>
    <w:p>
      <w:pPr>
        <w:spacing w:line="360" w:lineRule="exact"/>
        <w:ind w:firstLine="420" w:firstLineChars="200"/>
        <w:jc w:val="left"/>
        <w:rPr>
          <w:rFonts w:hint="eastAsia"/>
          <w:szCs w:val="21"/>
        </w:rPr>
      </w:pPr>
      <w:r>
        <w:rPr>
          <w:rFonts w:hint="eastAsia" w:ascii="微软雅黑" w:hAnsi="微软雅黑" w:eastAsia="微软雅黑" w:cs="微软雅黑"/>
          <w:szCs w:val="21"/>
        </w:rPr>
        <w:t xml:space="preserve">⑷ </w:t>
      </w:r>
      <w:r>
        <w:rPr>
          <w:rFonts w:hint="eastAsia"/>
          <w:szCs w:val="21"/>
        </w:rPr>
        <w:t>测评通过后最终出具：对应系统的《信息安全等级保护测评报告》 。</w:t>
      </w:r>
    </w:p>
    <w:p>
      <w:pPr>
        <w:spacing w:line="360" w:lineRule="exact"/>
        <w:ind w:firstLine="422" w:firstLineChars="200"/>
        <w:jc w:val="left"/>
        <w:rPr>
          <w:b/>
          <w:szCs w:val="21"/>
        </w:rPr>
      </w:pPr>
      <w:r>
        <w:rPr>
          <w:b/>
          <w:szCs w:val="21"/>
        </w:rPr>
        <w:t>3</w:t>
      </w:r>
      <w:r>
        <w:rPr>
          <w:rFonts w:hint="eastAsia"/>
          <w:b/>
          <w:szCs w:val="21"/>
        </w:rPr>
        <w:t>、提供的技术服务成果及要求</w:t>
      </w:r>
    </w:p>
    <w:p>
      <w:pPr>
        <w:spacing w:line="360" w:lineRule="exact"/>
        <w:ind w:firstLine="420" w:firstLineChars="200"/>
        <w:jc w:val="left"/>
        <w:rPr>
          <w:szCs w:val="21"/>
        </w:rPr>
      </w:pPr>
      <w:r>
        <w:rPr>
          <w:szCs w:val="21"/>
        </w:rPr>
        <w:t>3</w:t>
      </w:r>
      <w:r>
        <w:rPr>
          <w:rFonts w:hint="eastAsia"/>
          <w:szCs w:val="21"/>
        </w:rPr>
        <w:t>.1 技术服务的方式：现场测评、数据分析。</w:t>
      </w:r>
    </w:p>
    <w:p>
      <w:pPr>
        <w:spacing w:line="360" w:lineRule="exact"/>
        <w:ind w:firstLine="420" w:firstLineChars="200"/>
        <w:jc w:val="left"/>
        <w:rPr>
          <w:szCs w:val="21"/>
        </w:rPr>
      </w:pPr>
      <w:r>
        <w:rPr>
          <w:szCs w:val="21"/>
        </w:rPr>
        <w:t>3</w:t>
      </w:r>
      <w:r>
        <w:rPr>
          <w:rFonts w:hint="eastAsia"/>
          <w:szCs w:val="21"/>
        </w:rPr>
        <w:t>.2 技术服务对象:采购人申请测评的信息系统采购人申请测评的信息系统，如所申请系统的相关信息与实际环境不相符合，以信息系统实际运行环境为准。</w:t>
      </w:r>
    </w:p>
    <w:p>
      <w:pPr>
        <w:spacing w:line="360" w:lineRule="exact"/>
        <w:ind w:firstLine="420" w:firstLineChars="200"/>
        <w:jc w:val="left"/>
        <w:rPr>
          <w:szCs w:val="21"/>
        </w:rPr>
      </w:pPr>
      <w:r>
        <w:rPr>
          <w:szCs w:val="21"/>
        </w:rPr>
        <w:t>3</w:t>
      </w:r>
      <w:r>
        <w:rPr>
          <w:rFonts w:hint="eastAsia"/>
          <w:szCs w:val="21"/>
        </w:rPr>
        <w:t>.3 技术服务成果：取得并提交福建省等级保护测评机构出具的安全等级测评报告。 </w:t>
      </w:r>
    </w:p>
    <w:p>
      <w:pPr>
        <w:spacing w:line="360" w:lineRule="exact"/>
        <w:ind w:firstLine="420" w:firstLineChars="200"/>
        <w:jc w:val="left"/>
        <w:rPr>
          <w:szCs w:val="21"/>
        </w:rPr>
      </w:pPr>
      <w:r>
        <w:rPr>
          <w:szCs w:val="21"/>
        </w:rPr>
        <w:t>3</w:t>
      </w:r>
      <w:r>
        <w:rPr>
          <w:rFonts w:hint="eastAsia"/>
          <w:szCs w:val="21"/>
        </w:rPr>
        <w:t>.4 技术服务质量要求</w:t>
      </w:r>
    </w:p>
    <w:p>
      <w:pPr>
        <w:spacing w:line="360" w:lineRule="exact"/>
        <w:ind w:firstLine="420" w:firstLineChars="200"/>
        <w:jc w:val="left"/>
        <w:rPr>
          <w:color w:val="auto"/>
          <w:szCs w:val="21"/>
        </w:rPr>
      </w:pPr>
      <w:r>
        <w:rPr>
          <w:rFonts w:hint="eastAsia"/>
          <w:color w:val="auto"/>
          <w:szCs w:val="21"/>
        </w:rPr>
        <w:t>（1）投标人</w:t>
      </w:r>
      <w:r>
        <w:rPr>
          <w:rFonts w:hint="eastAsia"/>
          <w:color w:val="auto"/>
          <w:szCs w:val="21"/>
          <w:lang w:val="en-US" w:eastAsia="zh-CN"/>
        </w:rPr>
        <w:t>在</w:t>
      </w:r>
      <w:r>
        <w:rPr>
          <w:rFonts w:hint="eastAsia"/>
          <w:color w:val="auto"/>
          <w:szCs w:val="21"/>
        </w:rPr>
        <w:t>本备案所在省内具有公安部第三研究所颁发的《网络安全等级测评与检测评估机构服务认证证书》；</w:t>
      </w:r>
    </w:p>
    <w:p>
      <w:pPr>
        <w:spacing w:line="360" w:lineRule="exact"/>
        <w:ind w:firstLine="420" w:firstLineChars="200"/>
        <w:jc w:val="left"/>
        <w:rPr>
          <w:color w:val="auto"/>
          <w:szCs w:val="21"/>
        </w:rPr>
      </w:pPr>
      <w:r>
        <w:rPr>
          <w:rFonts w:hint="eastAsia"/>
          <w:color w:val="auto"/>
          <w:szCs w:val="21"/>
        </w:rPr>
        <w:t>（2）投标人拟投入此次项目中的测评人员中至少需要有1名高级测评师及4名中级测评师（需提供相关证明材料）未提供按无效投标处理。</w:t>
      </w:r>
    </w:p>
    <w:p>
      <w:pPr>
        <w:spacing w:line="360" w:lineRule="exact"/>
        <w:ind w:firstLine="420" w:firstLineChars="200"/>
        <w:jc w:val="left"/>
        <w:rPr>
          <w:color w:val="auto"/>
          <w:szCs w:val="21"/>
        </w:rPr>
      </w:pPr>
      <w:r>
        <w:rPr>
          <w:rFonts w:hint="eastAsia"/>
          <w:color w:val="auto"/>
          <w:szCs w:val="21"/>
        </w:rPr>
        <w:t>（</w:t>
      </w:r>
      <w:r>
        <w:rPr>
          <w:color w:val="auto"/>
          <w:szCs w:val="21"/>
        </w:rPr>
        <w:t>3</w:t>
      </w:r>
      <w:r>
        <w:rPr>
          <w:rFonts w:hint="eastAsia"/>
          <w:color w:val="auto"/>
          <w:szCs w:val="21"/>
        </w:rPr>
        <w:t>）安全测评单位在委托方现场测评时安全测评单位在采购人现场测评时，应遵守委托方的工作纪律应遵守采购人的工作纪律，不破坏采购人的工作设备和软、硬件设施。</w:t>
      </w:r>
    </w:p>
    <w:p>
      <w:pPr>
        <w:spacing w:line="360" w:lineRule="exact"/>
        <w:ind w:firstLine="420" w:firstLineChars="200"/>
        <w:jc w:val="left"/>
        <w:rPr>
          <w:color w:val="auto"/>
          <w:szCs w:val="21"/>
        </w:rPr>
      </w:pPr>
      <w:r>
        <w:rPr>
          <w:rFonts w:hint="eastAsia"/>
          <w:color w:val="auto"/>
          <w:szCs w:val="21"/>
        </w:rPr>
        <w:t>（</w:t>
      </w:r>
      <w:r>
        <w:rPr>
          <w:color w:val="auto"/>
          <w:szCs w:val="21"/>
        </w:rPr>
        <w:t>4</w:t>
      </w:r>
      <w:r>
        <w:rPr>
          <w:rFonts w:hint="eastAsia"/>
          <w:color w:val="auto"/>
          <w:szCs w:val="21"/>
        </w:rPr>
        <w:t>）安全测评单位在现场测评时，应与采购方项目负责人充分沟通，如在运用相关工具或开展相关测评工作前，应事先做好风险评估和回退机制，做好安全防范措施，确保在测评工作开展过程中不影响系统的正常运行。</w:t>
      </w:r>
    </w:p>
    <w:p>
      <w:pPr>
        <w:spacing w:line="360" w:lineRule="exact"/>
        <w:ind w:firstLine="420" w:firstLineChars="200"/>
        <w:jc w:val="left"/>
        <w:rPr>
          <w:rFonts w:hint="eastAsia"/>
          <w:color w:val="auto"/>
          <w:szCs w:val="21"/>
        </w:rPr>
      </w:pPr>
      <w:r>
        <w:rPr>
          <w:rFonts w:hint="eastAsia"/>
          <w:color w:val="auto"/>
          <w:szCs w:val="21"/>
        </w:rPr>
        <w:t>（</w:t>
      </w:r>
      <w:r>
        <w:rPr>
          <w:color w:val="auto"/>
          <w:szCs w:val="21"/>
        </w:rPr>
        <w:t>5</w:t>
      </w:r>
      <w:r>
        <w:rPr>
          <w:rFonts w:hint="eastAsia"/>
          <w:color w:val="auto"/>
          <w:szCs w:val="21"/>
        </w:rPr>
        <w:t>）测评单位需积极配合采购方、采购方的第三方安全服务商以及对应系统开发商完成测评整改工作。</w:t>
      </w:r>
    </w:p>
    <w:p>
      <w:pPr>
        <w:spacing w:line="360" w:lineRule="exact"/>
        <w:ind w:firstLine="420" w:firstLineChars="200"/>
        <w:jc w:val="left"/>
        <w:rPr>
          <w:rFonts w:hint="eastAsia"/>
          <w:color w:val="auto"/>
          <w:szCs w:val="21"/>
        </w:rPr>
      </w:pPr>
      <w:r>
        <w:rPr>
          <w:rFonts w:hint="eastAsia"/>
          <w:color w:val="auto"/>
          <w:szCs w:val="21"/>
        </w:rPr>
        <w:t>（</w:t>
      </w:r>
      <w:r>
        <w:rPr>
          <w:rFonts w:hint="eastAsia"/>
          <w:color w:val="auto"/>
          <w:szCs w:val="21"/>
          <w:lang w:val="en-US" w:eastAsia="zh-CN"/>
        </w:rPr>
        <w:t>6</w:t>
      </w:r>
      <w:r>
        <w:rPr>
          <w:rFonts w:hint="eastAsia"/>
          <w:color w:val="auto"/>
          <w:szCs w:val="21"/>
        </w:rPr>
        <w:t>）本项目要求投标人提供测评过程突发事件应急服务,能够快速应对测评过程突发事件,要求要求投标人在系统备案所在省具备实验室,并且实验室经过公安部第三研究所认可,须提供该实验室场地的租赁合同或采购买卖合同，并要求该实验室场所地址与《网络安全等级测评与检测评估机构服务认证证书》所列地址一致。</w:t>
      </w:r>
    </w:p>
    <w:p>
      <w:pPr>
        <w:spacing w:line="360" w:lineRule="exact"/>
        <w:ind w:firstLine="422" w:firstLineChars="200"/>
        <w:jc w:val="left"/>
        <w:rPr>
          <w:b/>
          <w:bCs/>
          <w:szCs w:val="21"/>
        </w:rPr>
      </w:pPr>
      <w:r>
        <w:rPr>
          <w:b/>
          <w:bCs/>
          <w:szCs w:val="21"/>
        </w:rPr>
        <w:t>4</w:t>
      </w:r>
      <w:r>
        <w:rPr>
          <w:rFonts w:hint="eastAsia"/>
          <w:b/>
          <w:bCs/>
          <w:szCs w:val="21"/>
        </w:rPr>
        <w:t>、采购人为安全等级测评单位工作提供的条件</w:t>
      </w:r>
    </w:p>
    <w:p>
      <w:pPr>
        <w:spacing w:line="360" w:lineRule="exact"/>
        <w:ind w:firstLine="420" w:firstLineChars="200"/>
        <w:jc w:val="left"/>
        <w:rPr>
          <w:szCs w:val="21"/>
        </w:rPr>
      </w:pPr>
      <w:r>
        <w:rPr>
          <w:szCs w:val="21"/>
        </w:rPr>
        <w:t>4</w:t>
      </w:r>
      <w:r>
        <w:rPr>
          <w:rFonts w:hint="eastAsia"/>
          <w:szCs w:val="21"/>
        </w:rPr>
        <w:t>.1 提供技术资料</w:t>
      </w:r>
    </w:p>
    <w:p>
      <w:pPr>
        <w:spacing w:line="360" w:lineRule="exact"/>
        <w:ind w:firstLine="420" w:firstLineChars="200"/>
        <w:jc w:val="left"/>
        <w:rPr>
          <w:szCs w:val="21"/>
        </w:rPr>
      </w:pPr>
      <w:r>
        <w:rPr>
          <w:rFonts w:hint="eastAsia"/>
          <w:szCs w:val="21"/>
        </w:rPr>
        <w:t>（1）系统建设调研报告、系统建设验收报告、系统使用安全产品说明书等。</w:t>
      </w:r>
    </w:p>
    <w:p>
      <w:pPr>
        <w:spacing w:line="360" w:lineRule="exact"/>
        <w:ind w:firstLine="420" w:firstLineChars="200"/>
        <w:jc w:val="left"/>
        <w:rPr>
          <w:szCs w:val="21"/>
        </w:rPr>
      </w:pPr>
      <w:r>
        <w:rPr>
          <w:rFonts w:hint="eastAsia"/>
          <w:szCs w:val="21"/>
        </w:rPr>
        <w:t>（2）机房管理制度、系统人员管理制度等系统相关制度文档。</w:t>
      </w:r>
    </w:p>
    <w:p>
      <w:pPr>
        <w:spacing w:line="360" w:lineRule="exact"/>
        <w:ind w:firstLine="420" w:firstLineChars="200"/>
        <w:jc w:val="left"/>
        <w:rPr>
          <w:szCs w:val="21"/>
        </w:rPr>
      </w:pPr>
      <w:r>
        <w:rPr>
          <w:rFonts w:hint="eastAsia"/>
          <w:szCs w:val="21"/>
        </w:rPr>
        <w:t>（3）其他系统相关资料。</w:t>
      </w:r>
    </w:p>
    <w:p>
      <w:pPr>
        <w:spacing w:line="360" w:lineRule="exact"/>
        <w:ind w:firstLine="420" w:firstLineChars="200"/>
        <w:jc w:val="left"/>
        <w:rPr>
          <w:szCs w:val="21"/>
        </w:rPr>
      </w:pPr>
      <w:r>
        <w:rPr>
          <w:szCs w:val="21"/>
        </w:rPr>
        <w:t>4</w:t>
      </w:r>
      <w:r>
        <w:rPr>
          <w:rFonts w:hint="eastAsia"/>
          <w:szCs w:val="21"/>
        </w:rPr>
        <w:t>.2 提供工作条件</w:t>
      </w:r>
    </w:p>
    <w:p>
      <w:pPr>
        <w:spacing w:line="360" w:lineRule="exact"/>
        <w:ind w:firstLine="420" w:firstLineChars="200"/>
        <w:jc w:val="left"/>
        <w:rPr>
          <w:szCs w:val="21"/>
        </w:rPr>
      </w:pPr>
      <w:r>
        <w:rPr>
          <w:rFonts w:hint="eastAsia"/>
          <w:szCs w:val="21"/>
        </w:rPr>
        <w:t>（1）配合测评的工作人员至少一名。</w:t>
      </w:r>
    </w:p>
    <w:p>
      <w:pPr>
        <w:spacing w:line="360" w:lineRule="exact"/>
        <w:ind w:firstLine="420" w:firstLineChars="200"/>
        <w:jc w:val="left"/>
        <w:rPr>
          <w:szCs w:val="21"/>
        </w:rPr>
      </w:pPr>
      <w:r>
        <w:rPr>
          <w:rFonts w:hint="eastAsia"/>
          <w:szCs w:val="21"/>
        </w:rPr>
        <w:t>（2）被评估系统所在网络环境接口。</w:t>
      </w:r>
    </w:p>
    <w:p>
      <w:pPr>
        <w:spacing w:line="360" w:lineRule="exact"/>
        <w:ind w:firstLine="420" w:firstLineChars="200"/>
        <w:jc w:val="left"/>
        <w:rPr>
          <w:szCs w:val="21"/>
        </w:rPr>
      </w:pPr>
      <w:r>
        <w:rPr>
          <w:rFonts w:hint="eastAsia"/>
          <w:szCs w:val="21"/>
        </w:rPr>
        <w:t>（3）系统备份：委托方采购人在安全测评单位开始工作前应自行做好信息系统的备份工作。</w:t>
      </w:r>
    </w:p>
    <w:p>
      <w:pPr>
        <w:spacing w:line="360" w:lineRule="exact"/>
        <w:jc w:val="left"/>
        <w:rPr>
          <w:b/>
          <w:bCs/>
          <w:szCs w:val="21"/>
        </w:rPr>
      </w:pPr>
      <w:r>
        <w:rPr>
          <w:rFonts w:hint="eastAsia"/>
          <w:b/>
          <w:bCs/>
          <w:szCs w:val="21"/>
        </w:rPr>
        <w:t>（二）检测依据</w:t>
      </w:r>
    </w:p>
    <w:p>
      <w:pPr>
        <w:spacing w:line="360" w:lineRule="exact"/>
        <w:ind w:firstLine="420" w:firstLineChars="200"/>
        <w:jc w:val="left"/>
        <w:rPr>
          <w:szCs w:val="21"/>
        </w:rPr>
      </w:pPr>
      <w:r>
        <w:rPr>
          <w:rFonts w:hint="eastAsia"/>
          <w:szCs w:val="21"/>
        </w:rPr>
        <w:t>依据网络安全等级保护条例（征求意见稿）、关键信息基础设施安全保护条例（征求意见稿）、GB 17859-1999计算机信息系统安全等级保护划分准则、GB 50174-2008电子信息系统机房设计规范、GB/T 22239-2019信息安全技术 网络安全等级保护基本要求、GB/T 28448-2019信息安全技术 网络安全等级保护测评要求、GB/T 28449-2018信息安全技术 网络安全等级保护测评过程指南、GB/T25058-2019信息安全技术 网络安全等级保护实施指南、GA/T 1389-2017信息安全技术 网络安全等级保护定级指南。</w:t>
      </w:r>
    </w:p>
    <w:p>
      <w:pPr>
        <w:spacing w:line="360" w:lineRule="exact"/>
        <w:jc w:val="left"/>
        <w:rPr>
          <w:b/>
          <w:bCs/>
          <w:szCs w:val="21"/>
        </w:rPr>
      </w:pPr>
      <w:r>
        <w:rPr>
          <w:rFonts w:hint="eastAsia"/>
          <w:b/>
          <w:bCs/>
          <w:szCs w:val="21"/>
        </w:rPr>
        <w:t>（三）服务范围</w:t>
      </w:r>
    </w:p>
    <w:p>
      <w:pPr>
        <w:spacing w:line="360" w:lineRule="exact"/>
        <w:ind w:firstLine="420" w:firstLineChars="200"/>
        <w:jc w:val="left"/>
        <w:rPr>
          <w:rFonts w:hint="eastAsia" w:eastAsia="宋体" w:cs="Times New Roman"/>
          <w:szCs w:val="21"/>
          <w:lang w:val="en-US" w:eastAsia="zh-CN"/>
        </w:rPr>
      </w:pPr>
      <w:r>
        <w:rPr>
          <w:rFonts w:hint="eastAsia" w:eastAsia="宋体" w:cs="Times New Roman"/>
          <w:szCs w:val="21"/>
          <w:lang w:val="en-US" w:eastAsia="zh-CN"/>
        </w:rPr>
        <w:t>信息安全等级保护二级认证及网络安全渗透测试服务</w:t>
      </w:r>
    </w:p>
    <w:p>
      <w:pPr>
        <w:spacing w:line="360" w:lineRule="exact"/>
        <w:jc w:val="left"/>
        <w:rPr>
          <w:b/>
          <w:bCs/>
          <w:szCs w:val="21"/>
        </w:rPr>
      </w:pPr>
      <w:r>
        <w:rPr>
          <w:rFonts w:hint="eastAsia"/>
          <w:b/>
          <w:bCs/>
          <w:szCs w:val="21"/>
        </w:rPr>
        <w:t>（四）项目交付与验收</w:t>
      </w:r>
    </w:p>
    <w:p>
      <w:pPr>
        <w:spacing w:line="360" w:lineRule="exact"/>
        <w:jc w:val="left"/>
        <w:rPr>
          <w:rFonts w:hint="default" w:eastAsia="宋体"/>
          <w:bCs/>
          <w:szCs w:val="21"/>
          <w:lang w:val="en-US" w:eastAsia="zh-CN"/>
        </w:rPr>
      </w:pPr>
      <w:r>
        <w:rPr>
          <w:rFonts w:hint="eastAsia"/>
          <w:szCs w:val="21"/>
        </w:rPr>
        <w:t>1、交付地点：</w:t>
      </w:r>
      <w:r>
        <w:rPr>
          <w:rFonts w:hint="eastAsia"/>
          <w:bCs/>
          <w:szCs w:val="21"/>
          <w:lang w:eastAsia="zh-CN"/>
        </w:rPr>
        <w:t>福建省福州市马尾区罗星塔路</w:t>
      </w:r>
      <w:r>
        <w:rPr>
          <w:rFonts w:hint="eastAsia"/>
          <w:bCs/>
          <w:szCs w:val="21"/>
          <w:lang w:val="en-US" w:eastAsia="zh-CN"/>
        </w:rPr>
        <w:t>8号中铝瑞闽</w:t>
      </w:r>
    </w:p>
    <w:p>
      <w:pPr>
        <w:spacing w:line="360" w:lineRule="exact"/>
        <w:jc w:val="left"/>
        <w:rPr>
          <w:szCs w:val="21"/>
        </w:rPr>
      </w:pPr>
      <w:r>
        <w:rPr>
          <w:rFonts w:hint="eastAsia"/>
          <w:szCs w:val="21"/>
        </w:rPr>
        <w:t>2、交付时间：根据主体项目建设时间而定，中标方在收到采购人提供满足测试所需的所有资料和测试环境之后，九十个工作日内提交备案所在省份测评机构出具的信息安全等级保护测评报告（不包含系统整改时间）。</w:t>
      </w:r>
    </w:p>
    <w:p>
      <w:pPr>
        <w:spacing w:line="360" w:lineRule="exact"/>
        <w:jc w:val="left"/>
        <w:rPr>
          <w:szCs w:val="21"/>
        </w:rPr>
      </w:pPr>
      <w:r>
        <w:rPr>
          <w:rFonts w:hint="eastAsia"/>
          <w:szCs w:val="21"/>
        </w:rPr>
        <w:t>3、交付条件：中标人需提供符合验收要求的安全测评报告</w:t>
      </w:r>
    </w:p>
    <w:p>
      <w:pPr>
        <w:spacing w:line="360" w:lineRule="exact"/>
        <w:jc w:val="left"/>
        <w:rPr>
          <w:szCs w:val="21"/>
        </w:rPr>
      </w:pPr>
      <w:r>
        <w:rPr>
          <w:szCs w:val="21"/>
        </w:rPr>
        <w:t>4</w:t>
      </w:r>
      <w:r>
        <w:rPr>
          <w:rFonts w:hint="eastAsia"/>
          <w:szCs w:val="21"/>
        </w:rPr>
        <w:t>、验收方式</w:t>
      </w:r>
    </w:p>
    <w:tbl>
      <w:tblPr>
        <w:tblStyle w:val="5"/>
        <w:tblW w:w="8214"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530"/>
        <w:gridCol w:w="668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5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exact"/>
              <w:jc w:val="center"/>
              <w:rPr>
                <w:szCs w:val="21"/>
              </w:rPr>
            </w:pPr>
            <w:r>
              <w:rPr>
                <w:rFonts w:hint="eastAsia"/>
                <w:szCs w:val="21"/>
              </w:rPr>
              <w:t>验收期次</w:t>
            </w:r>
          </w:p>
        </w:tc>
        <w:tc>
          <w:tcPr>
            <w:tcW w:w="6684"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exact"/>
              <w:jc w:val="center"/>
              <w:rPr>
                <w:szCs w:val="21"/>
              </w:rPr>
            </w:pPr>
            <w:r>
              <w:rPr>
                <w:rFonts w:hint="eastAsia"/>
                <w:szCs w:val="21"/>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1530"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exact"/>
              <w:jc w:val="center"/>
              <w:rPr>
                <w:szCs w:val="21"/>
              </w:rPr>
            </w:pPr>
            <w:r>
              <w:rPr>
                <w:rFonts w:hint="eastAsia"/>
                <w:szCs w:val="21"/>
              </w:rPr>
              <w:t>1</w:t>
            </w:r>
          </w:p>
        </w:tc>
        <w:tc>
          <w:tcPr>
            <w:tcW w:w="6684" w:type="dxa"/>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exact"/>
              <w:jc w:val="center"/>
              <w:rPr>
                <w:szCs w:val="21"/>
              </w:rPr>
            </w:pPr>
            <w:r>
              <w:rPr>
                <w:rFonts w:hint="eastAsia"/>
                <w:szCs w:val="21"/>
              </w:rPr>
              <w:t>中标人需提供符合验收要求的安全测评报告。</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b w:val="0"/>
          <w:bCs w:val="0"/>
          <w:spacing w:val="0"/>
          <w:kern w:val="0"/>
          <w:sz w:val="32"/>
          <w:szCs w:val="32"/>
          <w:lang w:val="en-US" w:eastAsia="zh-CN" w:bidi="ar"/>
        </w:rPr>
      </w:pPr>
      <w:bookmarkStart w:id="36" w:name="_GoBack"/>
      <w:bookmarkEnd w:id="3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DDC"/>
    <w:rsid w:val="0F60128D"/>
    <w:rsid w:val="120C47A0"/>
    <w:rsid w:val="133626DA"/>
    <w:rsid w:val="21845A3B"/>
    <w:rsid w:val="37ED3EE3"/>
    <w:rsid w:val="388C3A02"/>
    <w:rsid w:val="3D1F69CD"/>
    <w:rsid w:val="3E981D12"/>
    <w:rsid w:val="42B40AED"/>
    <w:rsid w:val="4AB618A5"/>
    <w:rsid w:val="4D6A074A"/>
    <w:rsid w:val="4F690EF5"/>
    <w:rsid w:val="59B37E25"/>
    <w:rsid w:val="59F74CEC"/>
    <w:rsid w:val="6437020B"/>
    <w:rsid w:val="669E1252"/>
    <w:rsid w:val="6C0C1753"/>
    <w:rsid w:val="6DF36F77"/>
    <w:rsid w:val="76EC5386"/>
    <w:rsid w:val="7E6C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80" w:lineRule="exact"/>
      <w:ind w:firstLine="600"/>
    </w:pPr>
    <w:rPr>
      <w:sz w:val="3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2026-04-14T06:23:00Z</dcterms:created>
  <dc:creator>Administrator</dc:creator>
  <cp:lastModifiedBy>钟杭(ZhongHang)</cp:lastModifiedBy>
  <dcterms:modified xsi:type="dcterms:W3CDTF">2026-06-10T09:30:32Z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15C9F74B87934E59BDC7A8483F6E2169</vt:lpwstr>
  </property>
</Properties>
</file>